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B571A8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B571A8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B571A8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3C7FBFDE" w:rsidR="00F120F6" w:rsidRPr="00B571A8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B571A8">
              <w:rPr>
                <w:b/>
                <w:sz w:val="19"/>
                <w:szCs w:val="19"/>
                <w:lang w:val="uk-UA"/>
              </w:rPr>
              <w:t xml:space="preserve">дистанційних </w:t>
            </w:r>
            <w:r w:rsidR="00E24070" w:rsidRPr="00B571A8">
              <w:rPr>
                <w:b/>
                <w:sz w:val="19"/>
                <w:szCs w:val="19"/>
                <w:lang w:val="uk-UA"/>
              </w:rPr>
              <w:t>річних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0BB3A700" w:rsidR="00F120F6" w:rsidRPr="00B571A8" w:rsidRDefault="00F120F6" w:rsidP="009C325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17C7F" w:rsidRPr="00B571A8">
              <w:rPr>
                <w:b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B571A8">
              <w:rPr>
                <w:b/>
                <w:sz w:val="19"/>
                <w:szCs w:val="19"/>
                <w:lang w:val="uk-UA"/>
              </w:rPr>
              <w:t>»</w:t>
            </w:r>
            <w:r w:rsidR="00936826" w:rsidRPr="00B571A8">
              <w:rPr>
                <w:b/>
                <w:sz w:val="19"/>
                <w:szCs w:val="19"/>
                <w:lang w:val="uk-UA"/>
              </w:rPr>
              <w:t xml:space="preserve"> (ідентифікаційни</w:t>
            </w:r>
            <w:r w:rsidR="00C768B0">
              <w:rPr>
                <w:b/>
                <w:sz w:val="19"/>
                <w:szCs w:val="19"/>
                <w:lang w:val="uk-UA"/>
              </w:rPr>
              <w:t>й</w:t>
            </w:r>
            <w:r w:rsidR="00936826" w:rsidRPr="00B571A8">
              <w:rPr>
                <w:b/>
                <w:sz w:val="19"/>
                <w:szCs w:val="19"/>
                <w:lang w:val="uk-UA"/>
              </w:rPr>
              <w:t xml:space="preserve"> код </w:t>
            </w:r>
            <w:r w:rsidR="00124D73" w:rsidRPr="00B571A8">
              <w:rPr>
                <w:b/>
                <w:sz w:val="19"/>
                <w:szCs w:val="19"/>
                <w:lang w:val="uk-UA"/>
              </w:rPr>
              <w:t>05581898</w:t>
            </w:r>
            <w:r w:rsidR="009C3256" w:rsidRPr="00B571A8">
              <w:rPr>
                <w:b/>
                <w:sz w:val="19"/>
                <w:szCs w:val="19"/>
                <w:lang w:val="uk-UA"/>
              </w:rPr>
              <w:t>)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E24070" w:rsidRPr="00B571A8">
              <w:rPr>
                <w:b/>
                <w:sz w:val="19"/>
                <w:szCs w:val="19"/>
                <w:lang w:val="uk-UA"/>
              </w:rPr>
              <w:t>30 квітня</w:t>
            </w:r>
            <w:r w:rsidR="0033306C" w:rsidRPr="00B571A8">
              <w:rPr>
                <w:b/>
                <w:sz w:val="19"/>
                <w:szCs w:val="19"/>
                <w:lang w:val="uk-UA"/>
              </w:rPr>
              <w:t xml:space="preserve"> 202</w:t>
            </w:r>
            <w:r w:rsidR="00703B77" w:rsidRPr="00B571A8">
              <w:rPr>
                <w:b/>
                <w:sz w:val="19"/>
                <w:szCs w:val="19"/>
                <w:lang w:val="uk-UA"/>
              </w:rPr>
              <w:t>4</w:t>
            </w:r>
            <w:r w:rsidR="0033306C" w:rsidRPr="00B571A8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B571A8">
              <w:rPr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B571A8" w:rsidRDefault="00F120F6" w:rsidP="0033306C">
            <w:pPr>
              <w:widowControl w:val="0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05BCC" w:rsidRPr="00B571A8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303F62E3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Дата проведення </w:t>
            </w:r>
            <w:r w:rsidR="008F37A7">
              <w:rPr>
                <w:sz w:val="19"/>
                <w:szCs w:val="19"/>
                <w:lang w:val="uk-UA"/>
              </w:rPr>
              <w:t>річних</w:t>
            </w:r>
            <w:r w:rsidRPr="00B571A8">
              <w:rPr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0D1F286D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30 квітня 2024 року</w:t>
            </w:r>
          </w:p>
        </w:tc>
      </w:tr>
      <w:tr w:rsidR="00705BCC" w:rsidRPr="00B571A8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6C013FC7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19 квітня 2024 року об 11 годині 00 хвилин</w:t>
            </w:r>
          </w:p>
        </w:tc>
      </w:tr>
      <w:tr w:rsidR="00705BCC" w:rsidRPr="00B571A8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09E54E1A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30 квітня 2024 року о 18 годині 00 хвилин</w:t>
            </w:r>
          </w:p>
        </w:tc>
      </w:tr>
      <w:tr w:rsidR="006B688F" w:rsidRPr="00B571A8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B571A8" w:rsidRDefault="006B688F" w:rsidP="006B688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B571A8" w:rsidRDefault="006B688F" w:rsidP="006B688F">
            <w:pPr>
              <w:snapToGrid w:val="0"/>
              <w:rPr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B571A8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B571A8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B571A8" w:rsidRDefault="00F120F6" w:rsidP="00AF3D6F">
            <w:pPr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B571A8">
              <w:rPr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B571A8" w:rsidRDefault="00F120F6" w:rsidP="00AF3D6F">
            <w:pPr>
              <w:jc w:val="both"/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B571A8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B571A8" w:rsidRDefault="00F120F6" w:rsidP="00AF3D6F">
            <w:pPr>
              <w:rPr>
                <w:bCs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8F37A7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B571A8">
              <w:rPr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B571A8">
              <w:rPr>
                <w:sz w:val="19"/>
                <w:szCs w:val="19"/>
                <w:lang w:val="uk-UA"/>
              </w:rPr>
              <w:t xml:space="preserve"> згідно з</w:t>
            </w:r>
            <w:r w:rsidRPr="00B571A8">
              <w:rPr>
                <w:sz w:val="19"/>
                <w:szCs w:val="19"/>
                <w:lang w:val="uk-UA"/>
              </w:rPr>
              <w:t xml:space="preserve"> ЄДРПОУ – акціонера  </w:t>
            </w:r>
            <w:r w:rsidRPr="00B571A8">
              <w:rPr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B571A8">
              <w:rPr>
                <w:sz w:val="19"/>
                <w:szCs w:val="19"/>
                <w:lang w:val="uk-UA"/>
              </w:rPr>
              <w:t xml:space="preserve">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B571A8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>(за наявності</w:t>
            </w:r>
            <w:r w:rsidR="002374AB" w:rsidRPr="00B571A8">
              <w:rPr>
                <w:sz w:val="19"/>
                <w:szCs w:val="19"/>
                <w:lang w:val="uk-UA"/>
              </w:rPr>
              <w:t xml:space="preserve">) </w:t>
            </w:r>
            <w:r w:rsidRPr="00B571A8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>за межами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 України)</w:t>
            </w:r>
            <w:r w:rsidRPr="00B571A8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B571A8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  <w:p w14:paraId="2E0BD886" w14:textId="77777777" w:rsidR="00F120F6" w:rsidRPr="00B571A8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8F37A7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B571A8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</w:tc>
      </w:tr>
      <w:tr w:rsidR="00F120F6" w:rsidRPr="00B571A8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B571A8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B571A8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B571A8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B571A8">
              <w:rPr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B571A8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B571A8">
              <w:rPr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B571A8">
              <w:rPr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B571A8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8F37A7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B571A8">
              <w:rPr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B571A8" w:rsidRDefault="00455032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B571A8" w:rsidRDefault="00F120F6" w:rsidP="00AF3D6F">
            <w:pPr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B571A8">
              <w:rPr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B571A8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B571A8">
              <w:rPr>
                <w:i/>
                <w:sz w:val="19"/>
                <w:szCs w:val="19"/>
                <w:lang w:val="uk-UA"/>
              </w:rPr>
              <w:t>(за наявності)</w:t>
            </w:r>
            <w:r w:rsidR="00D0637B" w:rsidRPr="00B571A8">
              <w:rPr>
                <w:sz w:val="19"/>
                <w:szCs w:val="19"/>
                <w:lang w:val="uk-UA"/>
              </w:rPr>
              <w:t xml:space="preserve"> </w:t>
            </w:r>
            <w:r w:rsidRPr="00B571A8">
              <w:rPr>
                <w:sz w:val="19"/>
                <w:szCs w:val="19"/>
                <w:lang w:val="uk-UA"/>
              </w:rPr>
              <w:t xml:space="preserve">або </w:t>
            </w:r>
            <w:r w:rsidRPr="00B571A8">
              <w:rPr>
                <w:sz w:val="19"/>
                <w:szCs w:val="19"/>
                <w:lang w:val="uk-UA"/>
              </w:rPr>
              <w:lastRenderedPageBreak/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 w:rsidRPr="00B571A8">
              <w:rPr>
                <w:i/>
                <w:sz w:val="19"/>
                <w:szCs w:val="19"/>
                <w:lang w:val="uk-UA"/>
              </w:rPr>
              <w:t>за межами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B571A8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B571A8" w:rsidRDefault="00F120F6" w:rsidP="00AF3D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B571A8" w:rsidRDefault="00F120F6" w:rsidP="00AF3D6F">
            <w:pPr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B571A8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B571A8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B571A8" w:rsidRDefault="00F120F6" w:rsidP="00AF3D6F">
            <w:pPr>
              <w:snapToGrid w:val="0"/>
              <w:jc w:val="both"/>
              <w:rPr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B571A8" w:rsidRDefault="00F120F6" w:rsidP="00AF3D6F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B571A8">
              <w:rPr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B571A8" w:rsidRDefault="00F120F6" w:rsidP="00AF3D6F">
            <w:pPr>
              <w:snapToGrid w:val="0"/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B571A8" w:rsidRDefault="00F120F6" w:rsidP="00AF3D6F">
            <w:pPr>
              <w:jc w:val="center"/>
              <w:rPr>
                <w:sz w:val="19"/>
                <w:szCs w:val="19"/>
                <w:lang w:val="uk-UA"/>
              </w:rPr>
            </w:pPr>
            <w:r w:rsidRPr="00B571A8">
              <w:rPr>
                <w:bCs/>
                <w:i/>
                <w:sz w:val="19"/>
                <w:szCs w:val="19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B571A8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65ADBD05" w14:textId="77777777" w:rsidR="00262F10" w:rsidRPr="00B571A8" w:rsidRDefault="00262F10" w:rsidP="00262F10">
      <w:pPr>
        <w:rPr>
          <w:sz w:val="19"/>
          <w:szCs w:val="19"/>
          <w:lang w:val="uk-UA"/>
        </w:rPr>
      </w:pPr>
      <w:r w:rsidRPr="00B571A8">
        <w:rPr>
          <w:sz w:val="19"/>
          <w:szCs w:val="19"/>
          <w:lang w:val="uk-UA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7AD08B43" w14:textId="77777777" w:rsidTr="00D70383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9607A" w14:textId="77777777" w:rsidR="00262F10" w:rsidRPr="00B571A8" w:rsidRDefault="00262F10" w:rsidP="00D70383">
            <w:pPr>
              <w:rPr>
                <w:b/>
                <w:i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053C" w14:textId="1D6A1F43" w:rsidR="00262F10" w:rsidRPr="00B571A8" w:rsidRDefault="00ED0AE1" w:rsidP="00D7038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B571A8">
              <w:rPr>
                <w:b/>
                <w:sz w:val="18"/>
                <w:szCs w:val="18"/>
                <w:lang w:val="uk-UA"/>
              </w:rPr>
              <w:t>Затвердження регламенту роботи Загальних зборів</w:t>
            </w:r>
          </w:p>
        </w:tc>
      </w:tr>
      <w:tr w:rsidR="00262F10" w:rsidRPr="008F37A7" w14:paraId="162461B5" w14:textId="77777777" w:rsidTr="0047369E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7995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399A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Затвердити наступний регламент роботи цих Загальних зборів:</w:t>
            </w:r>
          </w:p>
          <w:p w14:paraId="4CDEBD02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1. У Загальних зборах можуть брати участь особи, включені до переліку акціонерів, складеного станом на  25 квітня 2024 року, або їх представники, які зареєструвались для участі в цих річних Загальних зборах.</w:t>
            </w:r>
          </w:p>
          <w:p w14:paraId="1805DD6E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2.</w:t>
            </w:r>
            <w:r w:rsidRPr="0047369E">
              <w:rPr>
                <w:sz w:val="19"/>
                <w:szCs w:val="19"/>
                <w:lang w:val="uk-UA"/>
              </w:rPr>
              <w:tab/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340C876C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3.</w:t>
            </w:r>
            <w:r w:rsidRPr="0047369E">
              <w:rPr>
                <w:sz w:val="19"/>
                <w:szCs w:val="19"/>
                <w:lang w:val="uk-UA"/>
              </w:rPr>
              <w:tab/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5FB4187E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4.</w:t>
            </w:r>
            <w:r w:rsidRPr="0047369E">
              <w:rPr>
                <w:sz w:val="19"/>
                <w:szCs w:val="19"/>
                <w:lang w:val="uk-UA"/>
              </w:rPr>
              <w:tab/>
              <w:t>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1B1C86F2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5.</w:t>
            </w:r>
            <w:r w:rsidRPr="0047369E">
              <w:rPr>
                <w:sz w:val="19"/>
                <w:szCs w:val="19"/>
                <w:lang w:val="uk-UA"/>
              </w:rPr>
              <w:tab/>
              <w:t xml:space="preserve">Датою початку голосування є 19 квітня 2024 року (дата розміщення бюлетеню на сайті). </w:t>
            </w:r>
          </w:p>
          <w:p w14:paraId="3071BE58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6.</w:t>
            </w:r>
            <w:r w:rsidRPr="0047369E">
              <w:rPr>
                <w:sz w:val="19"/>
                <w:szCs w:val="19"/>
                <w:lang w:val="uk-UA"/>
              </w:rPr>
              <w:tab/>
              <w:t>Датою закінчення голосування акціонерів є 30 квітня 2024 року.</w:t>
            </w:r>
          </w:p>
          <w:p w14:paraId="169FF3F0" w14:textId="77777777" w:rsidR="0047369E" w:rsidRPr="0047369E" w:rsidRDefault="0047369E" w:rsidP="0047369E">
            <w:pPr>
              <w:jc w:val="both"/>
              <w:rPr>
                <w:sz w:val="19"/>
                <w:szCs w:val="19"/>
                <w:lang w:val="uk-UA"/>
              </w:rPr>
            </w:pPr>
            <w:r w:rsidRPr="0047369E">
              <w:rPr>
                <w:sz w:val="19"/>
                <w:szCs w:val="19"/>
                <w:lang w:val="uk-UA"/>
              </w:rPr>
              <w:t>7.</w:t>
            </w:r>
            <w:r w:rsidRPr="0047369E">
              <w:rPr>
                <w:sz w:val="19"/>
                <w:szCs w:val="19"/>
                <w:lang w:val="uk-UA"/>
              </w:rPr>
              <w:tab/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15A28065" w14:textId="115DF9FC" w:rsidR="00262F10" w:rsidRPr="00B571A8" w:rsidRDefault="0047369E" w:rsidP="0047369E">
            <w:pPr>
              <w:jc w:val="both"/>
              <w:rPr>
                <w:i/>
                <w:iCs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8.</w:t>
            </w:r>
            <w:r w:rsidRPr="00B571A8">
              <w:rPr>
                <w:sz w:val="19"/>
                <w:szCs w:val="19"/>
                <w:lang w:val="uk-UA"/>
              </w:rPr>
              <w:tab/>
              <w:t xml:space="preserve"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</w:t>
            </w:r>
            <w:r w:rsidRPr="00B571A8">
              <w:rPr>
                <w:sz w:val="19"/>
                <w:szCs w:val="19"/>
                <w:lang w:val="uk-UA"/>
              </w:rPr>
              <w:lastRenderedPageBreak/>
              <w:t>Національної комісії з цінних паперів та фондового ринку №236  від 06 березня 2023 року, з усіма змінами.</w:t>
            </w:r>
          </w:p>
        </w:tc>
      </w:tr>
      <w:tr w:rsidR="00262F10" w:rsidRPr="00B571A8" w14:paraId="324B83A1" w14:textId="77777777" w:rsidTr="00D7038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2D61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A6CD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D8DC1AB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120B046D" wp14:editId="4BB579D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6DCF010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84FF73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48C25C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550642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DDECB7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967F7A9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B0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6DCF010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4FF73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8C25C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50642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DECB7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967F7A9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6058E68" w14:textId="77777777" w:rsidR="00262F10" w:rsidRPr="00B571A8" w:rsidRDefault="00262F10" w:rsidP="00262F10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556E7A7B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FA3B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8A18" w14:textId="1DB7333E" w:rsidR="00262F10" w:rsidRPr="00B571A8" w:rsidRDefault="00AB51FB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результатів фінансово-господарської діяльності Товариства за 2023 рік та затвердження порядку розподілу прибутку Товариства</w:t>
            </w:r>
          </w:p>
        </w:tc>
      </w:tr>
      <w:tr w:rsidR="00262F10" w:rsidRPr="00B571A8" w14:paraId="0431A54F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B0A2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AD58" w14:textId="77777777" w:rsidR="001F029D" w:rsidRPr="00B571A8" w:rsidRDefault="001F029D" w:rsidP="001F029D">
            <w:pPr>
              <w:jc w:val="both"/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1.Затвердити результати фінансово-господарської діяльності Товариства (річну фінансову звітність) за 2023 рік.</w:t>
            </w:r>
          </w:p>
          <w:p w14:paraId="113DA00C" w14:textId="10BDEE46" w:rsidR="00262F10" w:rsidRPr="00B571A8" w:rsidRDefault="001F029D" w:rsidP="001F029D">
            <w:pPr>
              <w:jc w:val="both"/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2. Прибуток, отриманий Товариством за результатами фінансово-господарської діяльності за 2023 рік, у розмірі 31 913 тис. грн., залишити нерозподіленим.</w:t>
            </w:r>
          </w:p>
        </w:tc>
      </w:tr>
      <w:tr w:rsidR="00262F10" w:rsidRPr="00B571A8" w14:paraId="5DCA101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7CF8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3BEB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62969BB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0C107924" wp14:editId="6F03FE7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7DC6F6F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94E130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8FE3A0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1C4E43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F331B7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54FE7358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7924" id="Надпись 3" o:spid="_x0000_s1027" type="#_x0000_t202" style="position:absolute;margin-left:0;margin-top:-7.45pt;width:285.65pt;height:17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7DC6F6F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94E130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8FE3A0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1C4E43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331B7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54FE7358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BD7FE13" w14:textId="77777777" w:rsidR="00262F10" w:rsidRPr="00B571A8" w:rsidRDefault="00262F10" w:rsidP="00262F10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6ECCE710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EFD4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5216" w14:textId="4C717DC9" w:rsidR="00262F10" w:rsidRPr="00B571A8" w:rsidRDefault="000E3FF0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звіту наглядової ради, прийняття рішення за результатами розгляду такого звіту</w:t>
            </w:r>
          </w:p>
        </w:tc>
      </w:tr>
      <w:tr w:rsidR="00262F10" w:rsidRPr="00B571A8" w14:paraId="423D8AE8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3F2F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6FB" w14:textId="236CB574" w:rsidR="00262F10" w:rsidRPr="00B571A8" w:rsidRDefault="009F6ECE" w:rsidP="00D70383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Прийняти до відома та затвердити звіт наглядової ради Товариства про результати діяльності у 2023 році.</w:t>
            </w:r>
          </w:p>
        </w:tc>
      </w:tr>
      <w:tr w:rsidR="00262F10" w:rsidRPr="00B571A8" w14:paraId="307ECFDC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CA4F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2558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1C818959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07470C42" wp14:editId="4BADE36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538370161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58ECD0D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9BE796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103F8F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631129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96454A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015BC34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0C42" id="_x0000_s1028" type="#_x0000_t202" style="position:absolute;margin-left:0;margin-top:-7.45pt;width:285.65pt;height:17.0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58ECD0D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BE796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103F8F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31129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96454A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015BC34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0BF8EB10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8F37A7" w14:paraId="77EB1754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8ADE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35DC" w14:textId="06B1126A" w:rsidR="00262F10" w:rsidRPr="00B571A8" w:rsidRDefault="008B1D38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2022 рік)</w:t>
            </w:r>
          </w:p>
        </w:tc>
      </w:tr>
      <w:tr w:rsidR="00262F10" w:rsidRPr="008F37A7" w14:paraId="2044D04C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ECA0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D47E" w14:textId="77777777" w:rsidR="0047106D" w:rsidRPr="0047106D" w:rsidRDefault="0047106D" w:rsidP="0047106D">
            <w:pPr>
              <w:jc w:val="both"/>
              <w:rPr>
                <w:sz w:val="18"/>
                <w:szCs w:val="18"/>
                <w:lang w:val="uk-UA"/>
              </w:rPr>
            </w:pPr>
            <w:r w:rsidRPr="0047106D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рік.</w:t>
            </w:r>
          </w:p>
          <w:p w14:paraId="3857EDA6" w14:textId="1600CD07" w:rsidR="00262F10" w:rsidRPr="00B571A8" w:rsidRDefault="0047106D" w:rsidP="0047106D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рік.</w:t>
            </w:r>
          </w:p>
        </w:tc>
      </w:tr>
      <w:tr w:rsidR="00262F10" w:rsidRPr="00B571A8" w14:paraId="1CB89AE3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C908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EE14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02A55B9F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2336" behindDoc="0" locked="0" layoutInCell="1" allowOverlap="1" wp14:anchorId="68FA567C" wp14:editId="66D4D25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997621144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08C368C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458802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F7FA126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560259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A4FE7A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B96BD88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A567C" id="_x0000_s1029" type="#_x0000_t202" style="position:absolute;margin-left:0;margin-top:-7.45pt;width:285.65pt;height:17.05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08C368C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458802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FA126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60259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A4FE7A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B96BD88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11AABD0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8F37A7" w14:paraId="4F04668D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47FF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B7D0" w14:textId="6A886DB5" w:rsidR="00262F10" w:rsidRPr="00B571A8" w:rsidRDefault="00E964F6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2023 рік)</w:t>
            </w:r>
          </w:p>
        </w:tc>
      </w:tr>
      <w:tr w:rsidR="00262F10" w:rsidRPr="008F37A7" w14:paraId="6C48557B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0DB4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B1DA" w14:textId="77777777" w:rsidR="00AA7D0C" w:rsidRPr="00B571A8" w:rsidRDefault="00AA7D0C" w:rsidP="00AA7D0C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рік.</w:t>
            </w:r>
          </w:p>
          <w:p w14:paraId="1CA11FA9" w14:textId="1719DB7A" w:rsidR="00262F10" w:rsidRPr="00B571A8" w:rsidRDefault="00AA7D0C" w:rsidP="00AA7D0C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lastRenderedPageBreak/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рік.</w:t>
            </w:r>
          </w:p>
        </w:tc>
      </w:tr>
      <w:tr w:rsidR="00262F10" w:rsidRPr="00B571A8" w14:paraId="221A26D8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4DA4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4D17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3515441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3360" behindDoc="0" locked="0" layoutInCell="1" allowOverlap="1" wp14:anchorId="0D96917A" wp14:editId="6457B3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41890928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5D19C73A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8BCE07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6B9220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D19636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7C857C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0FCEC8A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6917A" id="_x0000_s1030" type="#_x0000_t202" style="position:absolute;margin-left:0;margin-top:-7.45pt;width:285.65pt;height:17.0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5D19C73A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CE07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6B9220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19636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7C857C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0FCEC8A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050EF27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70B0447C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9E56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03AF" w14:textId="65E3A86F" w:rsidR="00262F10" w:rsidRPr="00B571A8" w:rsidRDefault="006E1E53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Подальше (наступне) схвалення вчинених Товариством значних правочинів із заінтересованістю</w:t>
            </w:r>
          </w:p>
        </w:tc>
      </w:tr>
      <w:tr w:rsidR="00262F10" w:rsidRPr="00B571A8" w14:paraId="30E736D0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04940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60D4" w14:textId="77777777" w:rsidR="005D7560" w:rsidRPr="00B571A8" w:rsidRDefault="005D7560" w:rsidP="00263F7E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Відповідно до статті 241 Цивільного кодексу України та статті 108 Закону України «Про акціонерні товариства» схвалити вчинені Товариством такі значні правочини із заінтересованістю:</w:t>
            </w:r>
          </w:p>
          <w:p w14:paraId="61ED6873" w14:textId="77777777" w:rsidR="005D7560" w:rsidRPr="00B571A8" w:rsidRDefault="005D7560" w:rsidP="00263F7E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- Договір купівлі - продажу №1-Кук/КЕ, укладений 29 травня 2023 року між Товариством та Товариством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(ідентифікаційний код 32284263), за яким Товариство зобов’язується поставити Товариству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  4 566,089 тон кукурудзи, а Товариство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 зобов’язувалось прийняти товар  та оплачувати його вартість згідно умов договору, орієнтовна сума договору становить 24 428 561,00  грн.;</w:t>
            </w:r>
          </w:p>
          <w:p w14:paraId="6BCCEFE6" w14:textId="77777777" w:rsidR="005D7560" w:rsidRPr="00B571A8" w:rsidRDefault="005D7560" w:rsidP="00263F7E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- Договір купівлі - продажу №2-Кук/КЕ, укладений 26 вересня 2023 року між Товариством та Товариством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(ідентифікаційний код 32284263), за яким Товариство зобов’язується поставити Товариству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  4 914,654 тон кукурудзи, а Товариство з обмеженою відповідальністю «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Кононівський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елеватор»  зобов’язувалось прийняти товар  та оплачувати його вартість згідно умов договору, орієнтовна сума договору становить 28 505 000,00  грн.;</w:t>
            </w:r>
          </w:p>
          <w:p w14:paraId="35985AFC" w14:textId="301C2884" w:rsidR="00262F10" w:rsidRPr="00B571A8" w:rsidRDefault="005D7560" w:rsidP="00263F7E">
            <w:pPr>
              <w:pStyle w:val="a3"/>
              <w:suppressAutoHyphens w:val="0"/>
              <w:ind w:left="0"/>
              <w:contextualSpacing/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B571A8">
              <w:rPr>
                <w:rFonts w:eastAsia="Times New Roman"/>
                <w:sz w:val="18"/>
                <w:szCs w:val="18"/>
                <w:lang w:val="uk-UA"/>
              </w:rPr>
              <w:t xml:space="preserve">- Договір короткострокової позики №ПХПП-409/303-23, укладений 11 жовтня 2023 року між Товариством та Приватним акціонерним товариством «Вовчанський </w:t>
            </w:r>
            <w:proofErr w:type="spellStart"/>
            <w:r w:rsidRPr="00B571A8">
              <w:rPr>
                <w:rFonts w:eastAsia="Times New Roman"/>
                <w:sz w:val="18"/>
                <w:szCs w:val="18"/>
                <w:lang w:val="uk-UA"/>
              </w:rPr>
              <w:t>олійноекстракційний</w:t>
            </w:r>
            <w:proofErr w:type="spellEnd"/>
            <w:r w:rsidRPr="00B571A8">
              <w:rPr>
                <w:rFonts w:eastAsia="Times New Roman"/>
                <w:sz w:val="18"/>
                <w:szCs w:val="18"/>
                <w:lang w:val="uk-UA"/>
              </w:rPr>
              <w:t xml:space="preserve"> завод» (ідентифікаційний код 00373936), за яким Товариство зобов’язується надати Приватному акціонерному товариству «Вовчанський </w:t>
            </w:r>
            <w:proofErr w:type="spellStart"/>
            <w:r w:rsidRPr="00B571A8">
              <w:rPr>
                <w:rFonts w:eastAsia="Times New Roman"/>
                <w:sz w:val="18"/>
                <w:szCs w:val="18"/>
                <w:lang w:val="uk-UA"/>
              </w:rPr>
              <w:t>олійноекстракційний</w:t>
            </w:r>
            <w:proofErr w:type="spellEnd"/>
            <w:r w:rsidRPr="00B571A8">
              <w:rPr>
                <w:rFonts w:eastAsia="Times New Roman"/>
                <w:sz w:val="18"/>
                <w:szCs w:val="18"/>
                <w:lang w:val="uk-UA"/>
              </w:rPr>
              <w:t xml:space="preserve"> завод» короткострокову поворотну безвідсоткову позику у розмірі 80 000 000,00 грн., розмір, якої збільшено додатковою угодою б/н  від 26 жовтня 2023 року до 180 000 000,00 грн.,  а Приватне акціонерне товариство «Вовчанський </w:t>
            </w:r>
            <w:proofErr w:type="spellStart"/>
            <w:r w:rsidRPr="00B571A8">
              <w:rPr>
                <w:rFonts w:eastAsia="Times New Roman"/>
                <w:sz w:val="18"/>
                <w:szCs w:val="18"/>
                <w:lang w:val="uk-UA"/>
              </w:rPr>
              <w:t>олійноекстракційний</w:t>
            </w:r>
            <w:proofErr w:type="spellEnd"/>
            <w:r w:rsidRPr="00B571A8">
              <w:rPr>
                <w:rFonts w:eastAsia="Times New Roman"/>
                <w:sz w:val="18"/>
                <w:szCs w:val="18"/>
                <w:lang w:val="uk-UA"/>
              </w:rPr>
              <w:t xml:space="preserve"> завод» зобов’язується прийняти позику, використати її на власний розсуд та повернути у тому ж обсязі протягом десяти днів від дня пред’явлення Товариством вимоги про повернення.</w:t>
            </w:r>
          </w:p>
        </w:tc>
      </w:tr>
      <w:tr w:rsidR="00262F10" w:rsidRPr="00B571A8" w14:paraId="05E9027F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850F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4C77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59895E06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138B996C" wp14:editId="6D896D8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996099850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72D8EAA5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2D70CC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4D0E63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2DC25B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860775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6AE9F4D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996C" id="_x0000_s1031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72D8EAA5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D70CC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D0E63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2DC25B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860775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6AE9F4D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7116E58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39E3CC00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0640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AEC0" w14:textId="58858FEB" w:rsidR="00262F10" w:rsidRPr="00B571A8" w:rsidRDefault="00520454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Попереднє надання згоди на вчинення Товариством значних правочинів</w:t>
            </w:r>
          </w:p>
        </w:tc>
      </w:tr>
      <w:tr w:rsidR="00262F10" w:rsidRPr="008F37A7" w14:paraId="6FCB45AB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E414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C96E" w14:textId="1B4BF9EE" w:rsidR="00262F10" w:rsidRPr="00B571A8" w:rsidRDefault="00134750" w:rsidP="00134750">
            <w:pPr>
              <w:pStyle w:val="a3"/>
              <w:suppressAutoHyphens w:val="0"/>
              <w:ind w:left="0"/>
              <w:contextualSpacing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rFonts w:eastAsia="Times New Roman"/>
                <w:sz w:val="18"/>
                <w:szCs w:val="18"/>
                <w:lang w:val="uk-UA"/>
              </w:rPr>
              <w:t>Попередньо надати згоду на вчинення значних правочинів, які можуть вчинятися Товариством у строк до 30 квітня 2025 року (включно), за умови попереднього погодження таких правочинів радою директорів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262F10" w:rsidRPr="00B571A8" w14:paraId="61D4AD01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A09D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8BAB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34FCD06D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5408" behindDoc="0" locked="0" layoutInCell="1" allowOverlap="1" wp14:anchorId="4C3B6460" wp14:editId="1D86A7C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3235597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042AA29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A916C2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DB0631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8946FE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7532CD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2AD3298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6460" id="_x0000_s1032" type="#_x0000_t202" style="position:absolute;margin-left:0;margin-top:-7.45pt;width:285.65pt;height:17.05pt;z-index:25166540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042AA29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A916C2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DB0631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46FE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532CD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2AD3298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6FDDD2D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5F7BB45C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CAB5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8,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66E8" w14:textId="10B9CBAB" w:rsidR="00262F10" w:rsidRPr="00B571A8" w:rsidRDefault="00D246B5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Прийняття рішення про зміну структури управління Товариства</w:t>
            </w:r>
          </w:p>
        </w:tc>
      </w:tr>
      <w:tr w:rsidR="00262F10" w:rsidRPr="00B571A8" w14:paraId="7DC59842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24B6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8: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AEE2" w14:textId="77777777" w:rsidR="00C82BDA" w:rsidRPr="00C82BDA" w:rsidRDefault="00C82BDA" w:rsidP="00C82BDA">
            <w:pPr>
              <w:jc w:val="both"/>
              <w:rPr>
                <w:sz w:val="18"/>
                <w:szCs w:val="18"/>
                <w:lang w:val="uk-UA"/>
              </w:rPr>
            </w:pPr>
            <w:r w:rsidRPr="00C82BDA">
              <w:rPr>
                <w:sz w:val="18"/>
                <w:szCs w:val="18"/>
                <w:lang w:val="uk-UA"/>
              </w:rPr>
              <w:t xml:space="preserve">1. Змінити структуру управління Товариства на </w:t>
            </w:r>
            <w:proofErr w:type="spellStart"/>
            <w:r w:rsidRPr="00C82BDA">
              <w:rPr>
                <w:sz w:val="18"/>
                <w:szCs w:val="18"/>
                <w:lang w:val="uk-UA"/>
              </w:rPr>
              <w:t>однорівневу</w:t>
            </w:r>
            <w:proofErr w:type="spellEnd"/>
            <w:r w:rsidRPr="00C82BDA">
              <w:rPr>
                <w:sz w:val="18"/>
                <w:szCs w:val="18"/>
                <w:lang w:val="uk-UA"/>
              </w:rPr>
              <w:t xml:space="preserve"> (згідно ст. 4 ЗУ «Про акціонерні товариства» за </w:t>
            </w:r>
            <w:proofErr w:type="spellStart"/>
            <w:r w:rsidRPr="00C82BDA">
              <w:rPr>
                <w:sz w:val="18"/>
                <w:szCs w:val="18"/>
                <w:lang w:val="uk-UA"/>
              </w:rPr>
              <w:t>однорівневої</w:t>
            </w:r>
            <w:proofErr w:type="spellEnd"/>
            <w:r w:rsidRPr="00C82BDA">
              <w:rPr>
                <w:sz w:val="18"/>
                <w:szCs w:val="18"/>
                <w:lang w:val="uk-UA"/>
              </w:rPr>
              <w:t xml:space="preserve"> структури управління до органів акціонерного товариства застосовуються положення розділу VIII ЗУ «Про акціонерні товариства».).</w:t>
            </w:r>
          </w:p>
          <w:p w14:paraId="270DD478" w14:textId="77777777" w:rsidR="00C82BDA" w:rsidRPr="00C82BDA" w:rsidRDefault="00C82BDA" w:rsidP="00C82BDA">
            <w:pPr>
              <w:jc w:val="both"/>
              <w:rPr>
                <w:sz w:val="18"/>
                <w:szCs w:val="18"/>
                <w:lang w:val="uk-UA"/>
              </w:rPr>
            </w:pPr>
            <w:r w:rsidRPr="00C82BDA">
              <w:rPr>
                <w:sz w:val="18"/>
                <w:szCs w:val="18"/>
                <w:lang w:val="uk-UA"/>
              </w:rPr>
              <w:t>2. Скасувати органи управління Товариства, а саме: наглядову раду та одноосібний виконавчий орган - директор.</w:t>
            </w:r>
          </w:p>
          <w:p w14:paraId="589CB431" w14:textId="77777777" w:rsidR="00C82BDA" w:rsidRPr="00C82BDA" w:rsidRDefault="00C82BDA" w:rsidP="00C82BDA">
            <w:pPr>
              <w:jc w:val="both"/>
              <w:rPr>
                <w:sz w:val="18"/>
                <w:szCs w:val="18"/>
                <w:lang w:val="uk-UA"/>
              </w:rPr>
            </w:pPr>
            <w:r w:rsidRPr="00C82BDA">
              <w:rPr>
                <w:sz w:val="18"/>
                <w:szCs w:val="18"/>
                <w:lang w:val="uk-UA"/>
              </w:rPr>
              <w:t>3. Створити колегіальний виконавчий орган Товариства – раду директорів.</w:t>
            </w:r>
          </w:p>
          <w:p w14:paraId="0D43D16A" w14:textId="0EB9A946" w:rsidR="00262F10" w:rsidRPr="00B571A8" w:rsidRDefault="00C82BDA" w:rsidP="00C82BDA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4. Затвердити, що органами управління Товариством є загальні збори акціонерів та рада директорів.</w:t>
            </w:r>
          </w:p>
        </w:tc>
      </w:tr>
      <w:tr w:rsidR="00262F10" w:rsidRPr="00B571A8" w14:paraId="7AC36301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2A7E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E9D4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07C063DA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51DFE652" wp14:editId="1593ADE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241152409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0961FCD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0A71DD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BF3394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2A9E31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038715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F2D46CE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FE652" id="_x0000_s1033" type="#_x0000_t202" style="position:absolute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SJdaz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0961FCD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0A71DD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F3394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2A9E31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038715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F2D46CE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4BA2223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389B33CD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6D75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9,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0C0D" w14:textId="0C6B30CA" w:rsidR="00262F10" w:rsidRPr="00B571A8" w:rsidRDefault="00BB5710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</w:p>
        </w:tc>
      </w:tr>
      <w:tr w:rsidR="00262F10" w:rsidRPr="00B571A8" w14:paraId="44957649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1A96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9: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17F1" w14:textId="77777777" w:rsidR="007935F0" w:rsidRPr="007935F0" w:rsidRDefault="007935F0" w:rsidP="007935F0">
            <w:pPr>
              <w:jc w:val="both"/>
              <w:rPr>
                <w:sz w:val="18"/>
                <w:szCs w:val="18"/>
                <w:lang w:val="uk-UA"/>
              </w:rPr>
            </w:pPr>
            <w:r w:rsidRPr="007935F0">
              <w:rPr>
                <w:sz w:val="18"/>
                <w:szCs w:val="18"/>
                <w:lang w:val="uk-UA"/>
              </w:rPr>
              <w:t xml:space="preserve">1.Внести зміни до статуту Товариства. Статут Товариства затвердити в новій редакції. </w:t>
            </w:r>
          </w:p>
          <w:p w14:paraId="0E2D6054" w14:textId="77777777" w:rsidR="007935F0" w:rsidRPr="007935F0" w:rsidRDefault="007935F0" w:rsidP="007935F0">
            <w:pPr>
              <w:jc w:val="both"/>
              <w:rPr>
                <w:sz w:val="18"/>
                <w:szCs w:val="18"/>
                <w:lang w:val="uk-UA"/>
              </w:rPr>
            </w:pPr>
            <w:r w:rsidRPr="007935F0">
              <w:rPr>
                <w:sz w:val="18"/>
                <w:szCs w:val="18"/>
                <w:lang w:val="uk-UA"/>
              </w:rPr>
              <w:t xml:space="preserve">2. Уповноважити Головуючого (Голову) Загальних зборів </w:t>
            </w:r>
            <w:proofErr w:type="spellStart"/>
            <w:r w:rsidRPr="007935F0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7935F0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статут Товариства в новій редакції.</w:t>
            </w:r>
          </w:p>
          <w:p w14:paraId="00908D9D" w14:textId="7DD53FF1" w:rsidR="00262F10" w:rsidRPr="00B571A8" w:rsidRDefault="007935F0" w:rsidP="007935F0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3. Доручити директору/головному виконавчому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262F10" w:rsidRPr="00B571A8" w14:paraId="1705BB93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957B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4F26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40F38E0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7456" behindDoc="0" locked="0" layoutInCell="1" allowOverlap="1" wp14:anchorId="5D8285A0" wp14:editId="734D32B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409194762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7711213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EC2B0B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3C0582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AC3521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7EF1DA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7353AB0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85A0" id="_x0000_s1034" type="#_x0000_t202" style="position:absolute;margin-left:0;margin-top:-7.45pt;width:285.65pt;height:17.05pt;z-index:2516674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fNlB/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7711213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EC2B0B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C0582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AC3521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EF1DA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7353AB0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1F9B3D8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43DE001D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3D35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10,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0EFD" w14:textId="21C37719" w:rsidR="00262F10" w:rsidRPr="00B571A8" w:rsidRDefault="00E37B18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положення про раду директорів Товариства</w:t>
            </w:r>
          </w:p>
        </w:tc>
      </w:tr>
      <w:tr w:rsidR="00262F10" w:rsidRPr="00B571A8" w14:paraId="280A6194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2A48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10: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E84D" w14:textId="77777777" w:rsidR="0077452B" w:rsidRPr="0077452B" w:rsidRDefault="0077452B" w:rsidP="0077452B">
            <w:pPr>
              <w:jc w:val="both"/>
              <w:rPr>
                <w:sz w:val="18"/>
                <w:szCs w:val="18"/>
                <w:lang w:val="uk-UA"/>
              </w:rPr>
            </w:pPr>
            <w:r w:rsidRPr="0077452B">
              <w:rPr>
                <w:sz w:val="18"/>
                <w:szCs w:val="18"/>
                <w:lang w:val="uk-UA"/>
              </w:rPr>
              <w:t>1. Затвердити положення про раду директорів Товариства.</w:t>
            </w:r>
          </w:p>
          <w:p w14:paraId="7BC74E0E" w14:textId="057AD2B4" w:rsidR="00262F10" w:rsidRPr="00B571A8" w:rsidRDefault="0077452B" w:rsidP="0077452B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 xml:space="preserve">2. Уповноважити 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положення про раду директорів Товариства.</w:t>
            </w:r>
          </w:p>
        </w:tc>
      </w:tr>
      <w:tr w:rsidR="00262F10" w:rsidRPr="00B571A8" w14:paraId="44E5FB9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3339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DDFC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1BC3E2F1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73A0D19B" wp14:editId="7B9609D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89486751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0C4B250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8B16CE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F6D8D9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E9AF30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F27A50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9D8EE37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0D19B" id="_x0000_s1035" type="#_x0000_t202" style="position:absolute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5K7wEAAMEDAAAOAAAAZHJzL2Uyb0RvYy54bWysU9uO0zAQfUfiHyy/07RdtQtR09XSVRHS&#10;cpEWPsBxnMTC8Zix26R8PWMn6XJ5Q+TBGl/mzJwzJ7u7oTPsrNBrsAVfLZacKSuh0rYp+Ncvx1ev&#10;Of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J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Q/Pkr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0C4B250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8B16CE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F6D8D9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9AF30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27A50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9D8EE37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5F180A2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26D2ECF6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AA34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878D" w14:textId="2050D753" w:rsidR="00262F10" w:rsidRPr="00B571A8" w:rsidRDefault="00544DA8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Припинення повноважень членів наглядової ради Товариства</w:t>
            </w:r>
          </w:p>
        </w:tc>
      </w:tr>
      <w:tr w:rsidR="00262F10" w:rsidRPr="00B571A8" w14:paraId="41842C11" w14:textId="77777777" w:rsidTr="00D70383">
        <w:trPr>
          <w:trHeight w:val="3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70D0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11: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DD3A" w14:textId="77777777" w:rsidR="000E16A5" w:rsidRPr="000E16A5" w:rsidRDefault="000E16A5" w:rsidP="000E16A5">
            <w:pPr>
              <w:jc w:val="both"/>
              <w:rPr>
                <w:sz w:val="18"/>
                <w:szCs w:val="18"/>
                <w:lang w:val="uk-UA"/>
              </w:rPr>
            </w:pPr>
            <w:r w:rsidRPr="000E16A5">
              <w:rPr>
                <w:sz w:val="18"/>
                <w:szCs w:val="18"/>
                <w:lang w:val="uk-UA"/>
              </w:rPr>
              <w:t>Припинити повноваження членів наглядової ради Товариства:</w:t>
            </w:r>
          </w:p>
          <w:p w14:paraId="1970F75A" w14:textId="77777777" w:rsidR="000E16A5" w:rsidRPr="000E16A5" w:rsidRDefault="000E16A5" w:rsidP="000E16A5">
            <w:pPr>
              <w:jc w:val="both"/>
              <w:rPr>
                <w:sz w:val="18"/>
                <w:szCs w:val="18"/>
                <w:lang w:val="uk-UA"/>
              </w:rPr>
            </w:pPr>
            <w:r w:rsidRPr="000E16A5">
              <w:rPr>
                <w:sz w:val="18"/>
                <w:szCs w:val="18"/>
                <w:lang w:val="uk-UA"/>
              </w:rPr>
              <w:t>1) Пугача Юрія Володимировича (представника акціонера ТОВ «Кернел-Капітал»);</w:t>
            </w:r>
          </w:p>
          <w:p w14:paraId="1DCE0626" w14:textId="77777777" w:rsidR="000E16A5" w:rsidRPr="000E16A5" w:rsidRDefault="000E16A5" w:rsidP="000E16A5">
            <w:pPr>
              <w:jc w:val="both"/>
              <w:rPr>
                <w:sz w:val="18"/>
                <w:szCs w:val="18"/>
                <w:lang w:val="uk-UA"/>
              </w:rPr>
            </w:pPr>
            <w:r w:rsidRPr="000E16A5">
              <w:rPr>
                <w:sz w:val="18"/>
                <w:szCs w:val="18"/>
                <w:lang w:val="uk-UA"/>
              </w:rPr>
              <w:t xml:space="preserve">2) </w:t>
            </w:r>
            <w:proofErr w:type="spellStart"/>
            <w:r w:rsidRPr="000E16A5">
              <w:rPr>
                <w:sz w:val="18"/>
                <w:szCs w:val="18"/>
                <w:lang w:val="uk-UA"/>
              </w:rPr>
              <w:t>Врабеля</w:t>
            </w:r>
            <w:proofErr w:type="spellEnd"/>
            <w:r w:rsidRPr="000E16A5">
              <w:rPr>
                <w:sz w:val="18"/>
                <w:szCs w:val="18"/>
                <w:lang w:val="uk-UA"/>
              </w:rPr>
              <w:t xml:space="preserve"> Михайла Олександровича (представника акціонера ТОВ «Кернел-Капітал»);</w:t>
            </w:r>
          </w:p>
          <w:p w14:paraId="383AC429" w14:textId="03CE9A1A" w:rsidR="00262F10" w:rsidRPr="00B571A8" w:rsidRDefault="000E16A5" w:rsidP="000E16A5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 xml:space="preserve">3) 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Семіди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Наталії Миколаївни (представника акціонера ТОВ «Кернел-Капітал»).</w:t>
            </w:r>
          </w:p>
        </w:tc>
      </w:tr>
      <w:tr w:rsidR="00262F10" w:rsidRPr="00B571A8" w14:paraId="55407E57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537C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5E38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0D13739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9504" behindDoc="0" locked="0" layoutInCell="1" allowOverlap="1" wp14:anchorId="4604518D" wp14:editId="2EB95CF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77056147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690827B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0128BA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8428B0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19957E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88ED65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8E954A6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518D" id="_x0000_s1036" type="#_x0000_t202" style="position:absolute;margin-left:0;margin-top:-7.45pt;width:285.65pt;height:17.05pt;z-index:2516695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Ni7wEAAMI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ZEGyTeRdgnVhYgjjMaiH4GCFvAHZz2ZquD+&#10;+0mg4sx8sCRedOAc4ByUcyCspNSCB87G8BBGp54c6qYl5HE8Fu5J4Fon7i9dTP2SUZIkk6mjE3/d&#10;p1cvv97+J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M8EM2LvAQAAwg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690827B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128BA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8428B0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9957E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8ED65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8E954A6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63BBA61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1C0D68A8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EEDB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3CAB" w14:textId="4DF602C5" w:rsidR="00262F10" w:rsidRPr="00B571A8" w:rsidRDefault="00AB7B05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Припинення повноважень директора Товариства</w:t>
            </w:r>
          </w:p>
        </w:tc>
      </w:tr>
      <w:tr w:rsidR="00262F10" w:rsidRPr="00B571A8" w14:paraId="24F5EA61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A429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12: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EAC2" w14:textId="77777777" w:rsidR="001B2DE7" w:rsidRPr="001B2DE7" w:rsidRDefault="001B2DE7" w:rsidP="001B2DE7">
            <w:pPr>
              <w:jc w:val="both"/>
              <w:rPr>
                <w:sz w:val="18"/>
                <w:szCs w:val="18"/>
                <w:lang w:val="uk-UA"/>
              </w:rPr>
            </w:pPr>
            <w:r w:rsidRPr="001B2DE7">
              <w:rPr>
                <w:sz w:val="18"/>
                <w:szCs w:val="18"/>
                <w:lang w:val="uk-UA"/>
              </w:rPr>
              <w:t>1. Припинити повноваження директора Товариства Бондаренка Віктора Миколайовича з дати прийняття цього рішення Загальними зборами.</w:t>
            </w:r>
          </w:p>
          <w:p w14:paraId="69DED749" w14:textId="4CEC059E" w:rsidR="00262F10" w:rsidRPr="00B571A8" w:rsidRDefault="001B2DE7" w:rsidP="001B2DE7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 xml:space="preserve">2. Розірвати з Бондаренком Віктором Миколайовичем, як із директором Товариства, трудовий контракт від 24.05.2023 року, а також уповноважити Головуючого (Голову) Загальних зборів 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Наталію Миколаївну підписати з Бондаренком Віктором Миколайовичем угоду про розірвання трудового контракту від імені Товариства.</w:t>
            </w:r>
          </w:p>
        </w:tc>
      </w:tr>
      <w:tr w:rsidR="00262F10" w:rsidRPr="00B571A8" w14:paraId="71F4F087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636F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44C9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1F793FB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183092A1" wp14:editId="1A75D9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50577575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1EACE1CF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B00887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440966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294653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7BC7CD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95F8FF9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92A1" id="_x0000_s1037" type="#_x0000_t202" style="position:absolute;margin-left:0;margin-top:-7.45pt;width:285.65pt;height:17.05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k37gEAAMI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ZEGSYRIu4TqQsQRRmPRj0BBC/iDs55MVXD/&#10;/SRQcWY+WBIvOnAOcA7KORBWUmrBA2djeAijU08OddMS8jgeC/ckcK0T95cupn7JKEmSydTRib/u&#10;06uXX2//Ew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fPaZN+4BAADC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1EACE1CF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00887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40966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294653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BC7CD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95F8FF9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CBC5DE8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55C831A1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B78A7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83AC" w14:textId="3649B571" w:rsidR="00262F10" w:rsidRPr="00B571A8" w:rsidRDefault="00E16F06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умов цивільно-правових договорів, що укладатимуться з членами ради директорів  (невиконавчими директорами), встановлення розміру їх винагороди, обрання особи, яка уповноважується на підписання договорів з членами ради директорів (невиконавчими директорами) Товариства</w:t>
            </w:r>
          </w:p>
        </w:tc>
      </w:tr>
      <w:tr w:rsidR="00262F10" w:rsidRPr="00B571A8" w14:paraId="6DACADD8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C6A6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14: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F08D" w14:textId="77777777" w:rsidR="00624550" w:rsidRPr="00624550" w:rsidRDefault="00624550" w:rsidP="00624550">
            <w:pPr>
              <w:jc w:val="both"/>
              <w:rPr>
                <w:sz w:val="18"/>
                <w:szCs w:val="18"/>
                <w:lang w:val="uk-UA"/>
              </w:rPr>
            </w:pPr>
            <w:r w:rsidRPr="00624550">
              <w:rPr>
                <w:sz w:val="18"/>
                <w:szCs w:val="18"/>
                <w:lang w:val="uk-UA"/>
              </w:rPr>
              <w:t>1. Затвердити умови цивільно-правових договорів, що укладатимуться з членами ради директорів (невиконавчими директорами) Товариства (згідно з запропонованими проектами).</w:t>
            </w:r>
          </w:p>
          <w:p w14:paraId="4DA21B1A" w14:textId="77777777" w:rsidR="00624550" w:rsidRPr="00624550" w:rsidRDefault="00624550" w:rsidP="00624550">
            <w:pPr>
              <w:jc w:val="both"/>
              <w:rPr>
                <w:sz w:val="18"/>
                <w:szCs w:val="18"/>
                <w:lang w:val="uk-UA"/>
              </w:rPr>
            </w:pPr>
            <w:r w:rsidRPr="00624550">
              <w:rPr>
                <w:sz w:val="18"/>
                <w:szCs w:val="18"/>
                <w:lang w:val="uk-UA"/>
              </w:rPr>
              <w:t>2. Встановити, що невиконавчі директори ради директорів Товариства виконують свої обов’язки на безоплатній основі.</w:t>
            </w:r>
          </w:p>
          <w:p w14:paraId="1B2ECE4A" w14:textId="5EF69207" w:rsidR="00262F10" w:rsidRPr="00B571A8" w:rsidRDefault="00624550" w:rsidP="00624550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 xml:space="preserve">3. Обрати Головуючого (Голову) Загальних зборів </w:t>
            </w:r>
            <w:proofErr w:type="spellStart"/>
            <w:r w:rsidRPr="00B571A8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B571A8">
              <w:rPr>
                <w:sz w:val="18"/>
                <w:szCs w:val="18"/>
                <w:lang w:val="uk-UA"/>
              </w:rPr>
              <w:t xml:space="preserve"> Наталію Миколаївну уповноваженою особою на підписання цивільно-правових договорів, з членами ради директорів (невиконавчими директорами) Товариства.</w:t>
            </w:r>
          </w:p>
        </w:tc>
      </w:tr>
      <w:tr w:rsidR="00262F10" w:rsidRPr="00B571A8" w14:paraId="7DEC8001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23D1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593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55661A3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1552" behindDoc="0" locked="0" layoutInCell="1" allowOverlap="1" wp14:anchorId="362A65E7" wp14:editId="139431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831889672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345CF63F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46DA54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32A727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434687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F58E33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D5F9FCF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A65E7" id="_x0000_s1038" type="#_x0000_t202" style="position:absolute;margin-left:0;margin-top:-7.45pt;width:285.65pt;height:17.05pt;z-index:2516715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bJ7wEAAMI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ZEG64gRaZdQXYg4wmgs+hEoaAF/cNaTqQru&#10;v58EKs7MB0viRQfOAc5BOQfCSkoteOBsDA9hdOrJoW5aQh7HY+GeBK514v7SxdQvGSVJMpk6OvHX&#10;fXr18uvtfwI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KnhZsnvAQAAwg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345CF63F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6DA54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2A727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434687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58E33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D5F9FCF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4F7A5BD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0A633213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3BC5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D4FF" w14:textId="183D61AC" w:rsidR="00262F10" w:rsidRPr="00B571A8" w:rsidRDefault="00511A2C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умов трудового договору (контракту), що укладатиметься з головним виконавчим директором, встановлення розміру його винагороди, обрання особи, яка уповноважується на підписання трудового договору (контракту) з головним виконавчим директором</w:t>
            </w:r>
          </w:p>
        </w:tc>
      </w:tr>
      <w:tr w:rsidR="00262F10" w:rsidRPr="00B571A8" w14:paraId="58D79DDD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CAE9" w14:textId="77777777" w:rsidR="00262F10" w:rsidRPr="00B571A8" w:rsidRDefault="00262F10" w:rsidP="00D70383">
            <w:pPr>
              <w:rPr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16: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4AE3" w14:textId="77777777" w:rsidR="00C27497" w:rsidRPr="00B571A8" w:rsidRDefault="00C27497" w:rsidP="00C27497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B571A8">
              <w:rPr>
                <w:iCs/>
                <w:sz w:val="18"/>
                <w:szCs w:val="18"/>
                <w:lang w:val="uk-UA"/>
              </w:rPr>
              <w:t>1. Затвердити умови трудового договору (контракту), що укладатиметься з головним виконавчим директором Товариства Бондаренком Віктором Миколайовичем (згідно з запропонованим проектом) на строк з дати прийняття цього рішення Загальними зборами по 30.06.2025 року.</w:t>
            </w:r>
          </w:p>
          <w:p w14:paraId="562CCA32" w14:textId="77777777" w:rsidR="00C27497" w:rsidRPr="00B571A8" w:rsidRDefault="00C27497" w:rsidP="00C27497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B571A8">
              <w:rPr>
                <w:iCs/>
                <w:sz w:val="18"/>
                <w:szCs w:val="18"/>
                <w:lang w:val="uk-UA"/>
              </w:rPr>
              <w:t>2. Встановити, що головний виконавчий директор Товариства Бондаренко Віктор Миколайович отримує винагороду у розмірі згідно з штатним розписом.</w:t>
            </w:r>
          </w:p>
          <w:p w14:paraId="6EE16B20" w14:textId="0F55B0F1" w:rsidR="00262F10" w:rsidRPr="00B571A8" w:rsidRDefault="00C27497" w:rsidP="00C27497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B571A8">
              <w:rPr>
                <w:iCs/>
                <w:sz w:val="18"/>
                <w:szCs w:val="18"/>
                <w:lang w:val="uk-UA"/>
              </w:rPr>
              <w:t xml:space="preserve">3. Обрати Головуючого (Голову) Загальних зборів </w:t>
            </w:r>
            <w:proofErr w:type="spellStart"/>
            <w:r w:rsidRPr="00B571A8">
              <w:rPr>
                <w:iCs/>
                <w:sz w:val="18"/>
                <w:szCs w:val="18"/>
                <w:lang w:val="uk-UA"/>
              </w:rPr>
              <w:t>Семіду</w:t>
            </w:r>
            <w:proofErr w:type="spellEnd"/>
            <w:r w:rsidRPr="00B571A8">
              <w:rPr>
                <w:iCs/>
                <w:sz w:val="18"/>
                <w:szCs w:val="18"/>
                <w:lang w:val="uk-UA"/>
              </w:rPr>
              <w:t xml:space="preserve"> Наталію Миколаївну уповноваженою особою на підписання трудового договору (контракту) з головним виконавчим директором Товариства Бондаренком Віктором Миколайовичем.</w:t>
            </w:r>
          </w:p>
        </w:tc>
      </w:tr>
      <w:tr w:rsidR="00262F10" w:rsidRPr="00B571A8" w14:paraId="1E892759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0F35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61FB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E8FD271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372E5DAA" wp14:editId="08CC1AF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529120231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43E20745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8C2000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B46EF9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123188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02F79D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513DB59C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5DAA" id="_x0000_s1039" type="#_x0000_t202" style="position:absolute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BoTzJzvAQAAwg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43E20745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C2000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46EF9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123188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02F79D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513DB59C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0EB74333" w14:textId="77777777" w:rsidR="00262F10" w:rsidRPr="00B571A8" w:rsidRDefault="00262F10" w:rsidP="00262F10">
      <w:pPr>
        <w:rPr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74DC2292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A20B" w14:textId="77777777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168" w14:textId="639AF50F" w:rsidR="00262F10" w:rsidRPr="00B571A8" w:rsidRDefault="002710AA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Покладення функцій аудиторського комітету на раду директорів Товариства</w:t>
            </w:r>
          </w:p>
        </w:tc>
      </w:tr>
      <w:tr w:rsidR="00262F10" w:rsidRPr="00B571A8" w14:paraId="29BD5DFD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3B8B" w14:textId="7777777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lastRenderedPageBreak/>
              <w:t>Проект рішення з питання порядку денного № 17: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0AC1" w14:textId="1C2C3C11" w:rsidR="00262F10" w:rsidRPr="00B571A8" w:rsidRDefault="0026581D" w:rsidP="00D70383">
            <w:pPr>
              <w:jc w:val="both"/>
              <w:rPr>
                <w:sz w:val="18"/>
                <w:szCs w:val="18"/>
                <w:lang w:val="uk-UA"/>
              </w:rPr>
            </w:pPr>
            <w:r w:rsidRPr="00B571A8">
              <w:rPr>
                <w:sz w:val="18"/>
                <w:szCs w:val="18"/>
                <w:lang w:val="uk-UA"/>
              </w:rPr>
              <w:t>Покласти виконання функцій аудиторського комітету Товариства, які визначені Законом України «Про аудит фінансової звітності та аудиторську діяльність», на раду директорів Товариства.</w:t>
            </w:r>
          </w:p>
        </w:tc>
      </w:tr>
      <w:tr w:rsidR="00262F10" w:rsidRPr="00B571A8" w14:paraId="4FB974E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7E83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4BFE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078D3867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3600" behindDoc="0" locked="0" layoutInCell="1" allowOverlap="1" wp14:anchorId="1932AE1A" wp14:editId="484DDC6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95139639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603FD4ED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049F37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5CD619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8E641C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A356A5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BD871E6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AE1A" id="_x0000_s1040" type="#_x0000_t202" style="position:absolute;margin-left:0;margin-top:-7.45pt;width:285.65pt;height:17.05pt;z-index:2516736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nv7wEAAMI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kiD1xEj0i6huhBxhNFY9CNQ0AL+4KwnUxXc&#10;fz8JVJyZ95bEiw6cA5yDcg6ElZRa8MDZGB7C6NSTQ920hDyOx8I9CVzrxP25i6lfMkqSZDJ1dOKv&#10;+/Tq+dfb/wQ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ELI6e/vAQAAwg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603FD4ED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49F37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5CD619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8E641C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356A5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BD871E6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18C67F36" w:rsidR="00F120F6" w:rsidRPr="00B571A8" w:rsidRDefault="00F120F6" w:rsidP="00F120F6">
      <w:pPr>
        <w:rPr>
          <w:sz w:val="19"/>
          <w:szCs w:val="19"/>
          <w:lang w:val="uk-UA"/>
        </w:rPr>
      </w:pPr>
    </w:p>
    <w:p w14:paraId="176432F1" w14:textId="77777777" w:rsidR="00C5281F" w:rsidRPr="00B571A8" w:rsidRDefault="00C5281F" w:rsidP="00F120F6">
      <w:pPr>
        <w:rPr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B571A8" w:rsidRDefault="004D4BBE" w:rsidP="00F120F6">
      <w:pPr>
        <w:rPr>
          <w:sz w:val="19"/>
          <w:szCs w:val="19"/>
          <w:lang w:val="uk-UA"/>
        </w:rPr>
      </w:pPr>
      <w:r w:rsidRPr="00B571A8">
        <w:rPr>
          <w:b/>
          <w:sz w:val="19"/>
          <w:szCs w:val="19"/>
          <w:vertAlign w:val="superscript"/>
          <w:lang w:val="uk-UA"/>
        </w:rPr>
        <w:t>1</w:t>
      </w:r>
      <w:r w:rsidRPr="00B571A8">
        <w:rPr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B571A8" w:rsidSect="00C82631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F2B" w14:textId="77777777" w:rsidR="00C82631" w:rsidRDefault="00C82631" w:rsidP="00F120F6">
      <w:r>
        <w:separator/>
      </w:r>
    </w:p>
  </w:endnote>
  <w:endnote w:type="continuationSeparator" w:id="0">
    <w:p w14:paraId="5A8286F1" w14:textId="77777777" w:rsidR="00C82631" w:rsidRDefault="00C82631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C7D5" w14:textId="77777777" w:rsidR="00C82631" w:rsidRDefault="00C82631" w:rsidP="00F120F6">
      <w:r>
        <w:separator/>
      </w:r>
    </w:p>
  </w:footnote>
  <w:footnote w:type="continuationSeparator" w:id="0">
    <w:p w14:paraId="2EB9B008" w14:textId="77777777" w:rsidR="00C82631" w:rsidRDefault="00C82631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47B7DCF" w:rsidR="00F120F6" w:rsidRPr="00E24070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E24070">
      <w:rPr>
        <w:i/>
        <w:sz w:val="18"/>
        <w:szCs w:val="18"/>
        <w:lang w:val="uk-UA"/>
      </w:rPr>
      <w:t>Затверджено Наглядовою радою ПРАТ «</w:t>
    </w:r>
    <w:r w:rsidR="00C45A7C" w:rsidRPr="00E24070">
      <w:rPr>
        <w:i/>
        <w:sz w:val="18"/>
        <w:szCs w:val="18"/>
        <w:lang w:val="uk-UA"/>
      </w:rPr>
      <w:t>ПОЛТАВСЬКЕ ХПП</w:t>
    </w:r>
    <w:r w:rsidRPr="00E24070">
      <w:rPr>
        <w:i/>
        <w:sz w:val="18"/>
        <w:szCs w:val="18"/>
        <w:lang w:val="uk-UA"/>
      </w:rPr>
      <w:t>»</w:t>
    </w:r>
  </w:p>
  <w:bookmarkEnd w:id="0"/>
  <w:bookmarkEnd w:id="1"/>
  <w:p w14:paraId="223262F5" w14:textId="44C19394" w:rsidR="00E24070" w:rsidRPr="00AF460B" w:rsidRDefault="00E24070" w:rsidP="00E24070">
    <w:pPr>
      <w:jc w:val="right"/>
      <w:rPr>
        <w:sz w:val="18"/>
        <w:szCs w:val="18"/>
        <w:lang w:val="uk-UA"/>
      </w:rPr>
    </w:pPr>
    <w:r w:rsidRPr="00DE7456">
      <w:rPr>
        <w:i/>
        <w:sz w:val="18"/>
        <w:szCs w:val="18"/>
        <w:lang w:val="uk-UA"/>
      </w:rPr>
      <w:t>Додаток №1 до протоколу  №</w:t>
    </w:r>
    <w:r w:rsidR="00DE7456" w:rsidRPr="00DE7456">
      <w:rPr>
        <w:i/>
        <w:sz w:val="18"/>
        <w:szCs w:val="18"/>
        <w:lang w:val="uk-UA"/>
      </w:rPr>
      <w:t>13</w:t>
    </w:r>
    <w:r w:rsidRPr="00DE7456">
      <w:rPr>
        <w:i/>
        <w:color w:val="FF0000"/>
        <w:sz w:val="18"/>
        <w:szCs w:val="18"/>
        <w:lang w:val="uk-UA"/>
      </w:rPr>
      <w:t xml:space="preserve"> </w:t>
    </w:r>
    <w:r w:rsidRPr="00DE7456">
      <w:rPr>
        <w:i/>
        <w:sz w:val="18"/>
        <w:szCs w:val="18"/>
        <w:lang w:val="uk-UA"/>
      </w:rPr>
      <w:t xml:space="preserve">від </w:t>
    </w:r>
    <w:r w:rsidR="00DE7456" w:rsidRPr="00DE7456">
      <w:rPr>
        <w:i/>
        <w:sz w:val="18"/>
        <w:szCs w:val="18"/>
        <w:lang w:val="uk-UA"/>
      </w:rPr>
      <w:t>11</w:t>
    </w:r>
    <w:r w:rsidRPr="00DE7456">
      <w:rPr>
        <w:i/>
        <w:sz w:val="18"/>
        <w:szCs w:val="18"/>
        <w:lang w:val="uk-UA"/>
      </w:rPr>
      <w:t xml:space="preserve"> квітня  2024 року</w:t>
    </w:r>
  </w:p>
  <w:p w14:paraId="67081C97" w14:textId="77777777" w:rsidR="00F120F6" w:rsidRPr="00E24070" w:rsidRDefault="00F120F6" w:rsidP="00F120F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7D6"/>
    <w:multiLevelType w:val="hybridMultilevel"/>
    <w:tmpl w:val="F0D0EA28"/>
    <w:lvl w:ilvl="0" w:tplc="AC1077A4">
      <w:numFmt w:val="bullet"/>
      <w:lvlText w:val="-"/>
      <w:lvlJc w:val="left"/>
      <w:pPr>
        <w:ind w:left="927" w:hanging="360"/>
      </w:pPr>
      <w:rPr>
        <w:rFonts w:ascii="PragmaticaCTT" w:eastAsia="Calibri" w:hAnsi="PragmaticaCTT" w:cs="Aria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5"/>
  </w:num>
  <w:num w:numId="2" w16cid:durableId="174617266">
    <w:abstractNumId w:val="4"/>
  </w:num>
  <w:num w:numId="3" w16cid:durableId="27604616">
    <w:abstractNumId w:val="2"/>
  </w:num>
  <w:num w:numId="4" w16cid:durableId="2123302459">
    <w:abstractNumId w:val="3"/>
  </w:num>
  <w:num w:numId="5" w16cid:durableId="135151450">
    <w:abstractNumId w:val="1"/>
  </w:num>
  <w:num w:numId="6" w16cid:durableId="18335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E16A5"/>
    <w:rsid w:val="000E3FF0"/>
    <w:rsid w:val="00124D73"/>
    <w:rsid w:val="00134750"/>
    <w:rsid w:val="00141345"/>
    <w:rsid w:val="001611AB"/>
    <w:rsid w:val="00170031"/>
    <w:rsid w:val="001873DB"/>
    <w:rsid w:val="001A50BC"/>
    <w:rsid w:val="001B2DE7"/>
    <w:rsid w:val="001E3FB7"/>
    <w:rsid w:val="001F029D"/>
    <w:rsid w:val="002374AB"/>
    <w:rsid w:val="002511FC"/>
    <w:rsid w:val="00262F10"/>
    <w:rsid w:val="00263F7E"/>
    <w:rsid w:val="0026581D"/>
    <w:rsid w:val="002710AA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7106D"/>
    <w:rsid w:val="0047369E"/>
    <w:rsid w:val="004C0457"/>
    <w:rsid w:val="004D4BBE"/>
    <w:rsid w:val="004F16A6"/>
    <w:rsid w:val="00511A2C"/>
    <w:rsid w:val="00520454"/>
    <w:rsid w:val="00541331"/>
    <w:rsid w:val="00544DA8"/>
    <w:rsid w:val="00552596"/>
    <w:rsid w:val="005555E8"/>
    <w:rsid w:val="00594FC2"/>
    <w:rsid w:val="005C7DDA"/>
    <w:rsid w:val="005D1929"/>
    <w:rsid w:val="005D3E91"/>
    <w:rsid w:val="005D7560"/>
    <w:rsid w:val="005E1179"/>
    <w:rsid w:val="0061235D"/>
    <w:rsid w:val="00617C7F"/>
    <w:rsid w:val="0062019E"/>
    <w:rsid w:val="00620330"/>
    <w:rsid w:val="00624550"/>
    <w:rsid w:val="00625D04"/>
    <w:rsid w:val="00633B2D"/>
    <w:rsid w:val="0064542A"/>
    <w:rsid w:val="006523B4"/>
    <w:rsid w:val="0065271C"/>
    <w:rsid w:val="00655836"/>
    <w:rsid w:val="006820C8"/>
    <w:rsid w:val="006B688F"/>
    <w:rsid w:val="006D0E49"/>
    <w:rsid w:val="006E1E53"/>
    <w:rsid w:val="006F0476"/>
    <w:rsid w:val="00703B77"/>
    <w:rsid w:val="00705BCC"/>
    <w:rsid w:val="00736191"/>
    <w:rsid w:val="0077452B"/>
    <w:rsid w:val="007935F0"/>
    <w:rsid w:val="00795823"/>
    <w:rsid w:val="007E5B0E"/>
    <w:rsid w:val="008747CA"/>
    <w:rsid w:val="008947A1"/>
    <w:rsid w:val="008A22F9"/>
    <w:rsid w:val="008B1D38"/>
    <w:rsid w:val="008F37A7"/>
    <w:rsid w:val="00903349"/>
    <w:rsid w:val="00911991"/>
    <w:rsid w:val="00915717"/>
    <w:rsid w:val="00930EA2"/>
    <w:rsid w:val="00936826"/>
    <w:rsid w:val="009C3256"/>
    <w:rsid w:val="009E3E68"/>
    <w:rsid w:val="009F6ECE"/>
    <w:rsid w:val="00A26326"/>
    <w:rsid w:val="00A30CEC"/>
    <w:rsid w:val="00A33255"/>
    <w:rsid w:val="00A3667A"/>
    <w:rsid w:val="00A61965"/>
    <w:rsid w:val="00AA7D0C"/>
    <w:rsid w:val="00AB51FB"/>
    <w:rsid w:val="00AB7B05"/>
    <w:rsid w:val="00AE5F70"/>
    <w:rsid w:val="00B02ABB"/>
    <w:rsid w:val="00B571A8"/>
    <w:rsid w:val="00B65959"/>
    <w:rsid w:val="00B662CF"/>
    <w:rsid w:val="00B8182E"/>
    <w:rsid w:val="00BB5710"/>
    <w:rsid w:val="00BD31EA"/>
    <w:rsid w:val="00C1421B"/>
    <w:rsid w:val="00C17257"/>
    <w:rsid w:val="00C27497"/>
    <w:rsid w:val="00C426BC"/>
    <w:rsid w:val="00C45A7C"/>
    <w:rsid w:val="00C5281F"/>
    <w:rsid w:val="00C768B0"/>
    <w:rsid w:val="00C82631"/>
    <w:rsid w:val="00C82BDA"/>
    <w:rsid w:val="00CB654C"/>
    <w:rsid w:val="00CD229D"/>
    <w:rsid w:val="00CE6554"/>
    <w:rsid w:val="00CE7199"/>
    <w:rsid w:val="00D020B5"/>
    <w:rsid w:val="00D0637B"/>
    <w:rsid w:val="00D246B5"/>
    <w:rsid w:val="00D73263"/>
    <w:rsid w:val="00D90089"/>
    <w:rsid w:val="00DD37D5"/>
    <w:rsid w:val="00DD4715"/>
    <w:rsid w:val="00DE7456"/>
    <w:rsid w:val="00E16F06"/>
    <w:rsid w:val="00E24070"/>
    <w:rsid w:val="00E26BC3"/>
    <w:rsid w:val="00E37B18"/>
    <w:rsid w:val="00E62192"/>
    <w:rsid w:val="00E964F6"/>
    <w:rsid w:val="00EB529B"/>
    <w:rsid w:val="00ED0AE1"/>
    <w:rsid w:val="00EE559A"/>
    <w:rsid w:val="00F120F6"/>
    <w:rsid w:val="00F31AF9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7">
    <w:name w:val="rvps7"/>
    <w:basedOn w:val="a"/>
    <w:rsid w:val="005D756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10100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122</cp:revision>
  <cp:lastPrinted>2024-02-14T10:27:00Z</cp:lastPrinted>
  <dcterms:created xsi:type="dcterms:W3CDTF">2022-10-07T13:54:00Z</dcterms:created>
  <dcterms:modified xsi:type="dcterms:W3CDTF">2024-04-15T09:15:00Z</dcterms:modified>
</cp:coreProperties>
</file>